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A6D1" w14:textId="56CA5FC8" w:rsidR="00672074" w:rsidRPr="00461105" w:rsidRDefault="00672074" w:rsidP="003A25E0">
      <w:pPr>
        <w:adjustRightInd w:val="0"/>
        <w:snapToGrid w:val="0"/>
        <w:spacing w:line="312" w:lineRule="auto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bookmarkStart w:id="0" w:name="_Toc10710"/>
      <w:bookmarkStart w:id="1" w:name="_Toc55241420"/>
      <w:r w:rsidRPr="00461105">
        <w:rPr>
          <w:rFonts w:ascii="Times New Roman" w:eastAsia="华文中宋" w:hAnsi="Times New Roman" w:cs="Times New Roman"/>
          <w:b/>
          <w:bCs/>
          <w:sz w:val="32"/>
          <w:szCs w:val="32"/>
        </w:rPr>
        <w:t>首都医学科学创新中心</w:t>
      </w:r>
      <w:r w:rsidR="003E64BE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动物实验</w:t>
      </w:r>
      <w:r w:rsidR="00E51299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人员</w:t>
      </w:r>
      <w:r w:rsidRPr="00672074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违规管理</w:t>
      </w:r>
      <w:r w:rsidR="0030044E"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条款</w:t>
      </w:r>
    </w:p>
    <w:bookmarkEnd w:id="0"/>
    <w:bookmarkEnd w:id="1"/>
    <w:p w14:paraId="7CF9652C" w14:textId="77777777" w:rsidR="003401DC" w:rsidRPr="00672074" w:rsidRDefault="003401DC" w:rsidP="003A25E0">
      <w:pPr>
        <w:pStyle w:val="2"/>
        <w:adjustRightInd w:val="0"/>
        <w:snapToGrid w:val="0"/>
        <w:spacing w:before="0" w:after="0" w:line="312" w:lineRule="auto"/>
        <w:jc w:val="both"/>
        <w:rPr>
          <w:rFonts w:ascii="Times New Roman" w:eastAsia="华文中宋" w:hAnsi="Times New Roman" w:cs="Times New Roman"/>
          <w:color w:val="auto"/>
          <w:sz w:val="24"/>
          <w:szCs w:val="24"/>
          <w14:ligatures w14:val="standardContextual"/>
        </w:rPr>
      </w:pPr>
      <w:r w:rsidRPr="00691ED9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1.</w:t>
      </w:r>
      <w:r w:rsidRPr="00672074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目的</w:t>
      </w:r>
    </w:p>
    <w:p w14:paraId="06AB3389" w14:textId="6F016B29" w:rsidR="003401DC" w:rsidRPr="00672074" w:rsidRDefault="003401DC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为加强</w:t>
      </w:r>
      <w:r w:rsidR="00672074" w:rsidRPr="00672074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首都医学科学创新中心</w:t>
      </w:r>
      <w:r w:rsidR="00E51299" w:rsidRPr="00461105">
        <w:rPr>
          <w:rFonts w:ascii="Times New Roman" w:eastAsia="华文中宋" w:hAnsi="Times New Roman" w:cs="Times New Roman"/>
          <w:sz w:val="24"/>
        </w:rPr>
        <w:t>（</w:t>
      </w:r>
      <w:r w:rsidR="00E51299" w:rsidRPr="00461105">
        <w:rPr>
          <w:rFonts w:ascii="Times New Roman" w:eastAsia="华文中宋" w:hAnsi="Times New Roman" w:cs="Times New Roman"/>
          <w:sz w:val="24"/>
        </w:rPr>
        <w:t>Chinese Institutes for Medical Research, Beijing</w:t>
      </w:r>
      <w:r w:rsidR="00E51299">
        <w:rPr>
          <w:rFonts w:ascii="Times New Roman" w:eastAsia="华文中宋" w:hAnsi="Times New Roman" w:cs="Times New Roman" w:hint="eastAsia"/>
          <w:sz w:val="24"/>
        </w:rPr>
        <w:t>，</w:t>
      </w:r>
      <w:r w:rsidR="00E51299" w:rsidRPr="00461105">
        <w:rPr>
          <w:rFonts w:ascii="Times New Roman" w:eastAsia="华文中宋" w:hAnsi="Times New Roman" w:cs="Times New Roman"/>
          <w:sz w:val="24"/>
        </w:rPr>
        <w:t>CIMR</w:t>
      </w:r>
      <w:r w:rsidR="00E51299" w:rsidRPr="00461105">
        <w:rPr>
          <w:rFonts w:ascii="Times New Roman" w:eastAsia="华文中宋" w:hAnsi="Times New Roman" w:cs="Times New Roman"/>
          <w:sz w:val="24"/>
        </w:rPr>
        <w:t>）</w:t>
      </w:r>
      <w:r w:rsidRP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相关实验</w:t>
      </w:r>
      <w:r w:rsidRP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管理，减少人为风险，营造安全、规范</w:t>
      </w:r>
      <w:r w:rsid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</w:t>
      </w:r>
      <w:r w:rsidRP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良好的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科研</w:t>
      </w:r>
      <w:r w:rsidRP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环境，</w:t>
      </w:r>
      <w:r w:rsid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特此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制定此</w:t>
      </w:r>
      <w:r w:rsidR="00E51299" w:rsidRPr="00E5129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实验违规管理条款</w:t>
      </w:r>
      <w:r w:rsidRP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。</w:t>
      </w:r>
    </w:p>
    <w:p w14:paraId="70E4CDA2" w14:textId="77777777" w:rsidR="003401DC" w:rsidRPr="00672074" w:rsidRDefault="003401DC" w:rsidP="003A25E0">
      <w:pPr>
        <w:pStyle w:val="2"/>
        <w:adjustRightInd w:val="0"/>
        <w:snapToGrid w:val="0"/>
        <w:spacing w:before="0" w:after="0" w:line="312" w:lineRule="auto"/>
        <w:jc w:val="both"/>
        <w:rPr>
          <w:rFonts w:ascii="Times New Roman" w:eastAsia="华文中宋" w:hAnsi="Times New Roman" w:cs="Times New Roman"/>
          <w:color w:val="auto"/>
          <w:sz w:val="24"/>
          <w:szCs w:val="24"/>
          <w14:ligatures w14:val="standardContextual"/>
        </w:rPr>
      </w:pPr>
      <w:r w:rsidRPr="00691ED9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2.</w:t>
      </w:r>
      <w:r w:rsidRPr="00672074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范围</w:t>
      </w:r>
    </w:p>
    <w:p w14:paraId="14B1A8E7" w14:textId="46A2F470" w:rsidR="003401DC" w:rsidRPr="00C419D5" w:rsidRDefault="00AB6544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本程序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适用于</w:t>
      </w:r>
      <w:r w:rsidR="00C419D5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内开展</w:t>
      </w:r>
      <w:r w:rsidR="000226DA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动物实验的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所有相关</w:t>
      </w:r>
      <w:r w:rsidR="000226DA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人员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，其中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条例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4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为</w:t>
      </w:r>
      <w:r w:rsidR="00C419D5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北京实验动物中心场地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内实验人员</w:t>
      </w:r>
      <w:r w:rsidR="000226DA" w:rsidRP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违规管理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规定，条例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5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为在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首都医科大学</w:t>
      </w:r>
      <w:r w:rsid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区域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内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</w:t>
      </w:r>
      <w:r w:rsidR="000226DA" w:rsidRP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违规管理</w:t>
      </w:r>
      <w:r w:rsidR="000226D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规定</w:t>
      </w:r>
      <w:r w:rsidR="003401DC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。</w:t>
      </w:r>
    </w:p>
    <w:p w14:paraId="7EA972DE" w14:textId="77777777" w:rsidR="003401DC" w:rsidRPr="00C419D5" w:rsidRDefault="003401DC" w:rsidP="003A25E0">
      <w:pPr>
        <w:pStyle w:val="2"/>
        <w:adjustRightInd w:val="0"/>
        <w:snapToGrid w:val="0"/>
        <w:spacing w:before="0" w:after="0" w:line="312" w:lineRule="auto"/>
        <w:jc w:val="both"/>
        <w:rPr>
          <w:rFonts w:ascii="Times New Roman" w:eastAsia="华文中宋" w:hAnsi="Times New Roman" w:cs="Times New Roman"/>
          <w:color w:val="auto"/>
          <w:sz w:val="24"/>
          <w:szCs w:val="24"/>
          <w14:ligatures w14:val="standardContextual"/>
        </w:rPr>
      </w:pPr>
      <w:r w:rsidRPr="00691ED9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3.</w:t>
      </w:r>
      <w:r w:rsidRPr="00C419D5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职责</w:t>
      </w:r>
    </w:p>
    <w:p w14:paraId="67AB50C2" w14:textId="4C012239" w:rsidR="00E51299" w:rsidRDefault="00C419D5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293010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</w:t>
      </w:r>
      <w:r w:rsidR="003401DC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负责管理条款的制定、宣贯与</w:t>
      </w:r>
      <w:r w:rsidR="00BD2E17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监督</w:t>
      </w:r>
      <w:r w:rsidR="003401DC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实施。</w:t>
      </w:r>
    </w:p>
    <w:p w14:paraId="70AAF126" w14:textId="55F5D797" w:rsidR="003401DC" w:rsidRDefault="003401DC" w:rsidP="003A25E0">
      <w:pPr>
        <w:pStyle w:val="2"/>
        <w:adjustRightInd w:val="0"/>
        <w:snapToGrid w:val="0"/>
        <w:spacing w:before="0" w:after="0" w:line="312" w:lineRule="auto"/>
        <w:jc w:val="both"/>
        <w:rPr>
          <w:rFonts w:ascii="Times New Roman" w:eastAsia="华文中宋" w:hAnsi="Times New Roman" w:cs="Times New Roman"/>
          <w:color w:val="auto"/>
          <w:sz w:val="24"/>
          <w:szCs w:val="24"/>
          <w:shd w:val="pct15" w:color="auto" w:fill="FFFFFF"/>
          <w14:ligatures w14:val="standardContextual"/>
        </w:rPr>
      </w:pPr>
      <w:r w:rsidRPr="00E51299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4.</w:t>
      </w:r>
      <w:r w:rsidR="00BD2E17" w:rsidRPr="00CA7343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 xml:space="preserve"> </w:t>
      </w:r>
      <w:r w:rsidR="00E51299" w:rsidRPr="00CA7343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CIMR</w:t>
      </w:r>
      <w:r w:rsidR="00E51299" w:rsidRPr="00CA7343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北京实验动物中心场地动物实验人员</w:t>
      </w:r>
      <w:r w:rsidR="008C2086" w:rsidRPr="00CA7343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违规</w:t>
      </w:r>
      <w:r w:rsidR="00E51299" w:rsidRPr="00CA7343"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管理条例</w:t>
      </w:r>
    </w:p>
    <w:p w14:paraId="7B30A624" w14:textId="679F30C7" w:rsidR="00E51299" w:rsidRPr="0005392A" w:rsidRDefault="00E51299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在</w:t>
      </w:r>
      <w:r w:rsidRP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北京实验动物中心</w:t>
      </w:r>
      <w:r w:rsidR="00984FCC" w:rsidRP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场地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内</w:t>
      </w:r>
      <w:r w:rsidRP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所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开展的涉及动物的相关研究必须通过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CIMR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实验动物福利伦理委员会（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Institutional Animal Care and Use Committee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，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IACUC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）的审查同意后方可实施</w:t>
      </w:r>
      <w:r w:rsidRP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</w:t>
      </w:r>
      <w:r w:rsidR="00B66620" w:rsidRP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并需</w:t>
      </w:r>
      <w:r w:rsid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遵守《</w:t>
      </w:r>
      <w:r w:rsidR="0005392A" w:rsidRP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首都医学科学创新中心动物实验管理规范</w:t>
      </w:r>
      <w:r w:rsid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》的相关规定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。</w:t>
      </w:r>
    </w:p>
    <w:p w14:paraId="4BF94887" w14:textId="74F39B0A" w:rsidR="00E51299" w:rsidRDefault="00E51299" w:rsidP="003A25E0">
      <w:pPr>
        <w:adjustRightInd w:val="0"/>
        <w:snapToGrid w:val="0"/>
        <w:spacing w:afterLines="50" w:after="156" w:line="312" w:lineRule="auto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E5129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4.1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CIMR</w:t>
      </w:r>
      <w:r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北京实验动物中心场地</w:t>
      </w:r>
      <w:r w:rsidRPr="0067207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个人</w:t>
      </w:r>
      <w:r w:rsidRP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违规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管理程序</w:t>
      </w:r>
    </w:p>
    <w:p w14:paraId="68F22741" w14:textId="4477A85B" w:rsidR="003401DC" w:rsidRPr="00BD2E17" w:rsidRDefault="003401DC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4.1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.1</w:t>
      </w:r>
      <w:r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 xml:space="preserve"> 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实验人员个人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行为累计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扣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分周期为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个自然年，即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每年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月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日自动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获得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满分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12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分，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在每个扣分周期内，根据其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违规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行为等级对个人进行扣除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12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分、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6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3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等不同分值处理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。</w:t>
      </w:r>
    </w:p>
    <w:p w14:paraId="2CD8CA8C" w14:textId="693F85A5" w:rsidR="003401DC" w:rsidRPr="00BD2E17" w:rsidRDefault="003401DC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1.</w:t>
      </w:r>
      <w:r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 xml:space="preserve">2 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实验人员在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个记分周期内被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累计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扣除全部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12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分，</w:t>
      </w:r>
      <w:r w:rsidR="008C2086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8C2086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将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暂停个人</w:t>
      </w:r>
      <w:r w:rsidR="00CA7343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</w:t>
      </w:r>
      <w:r w:rsid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北京实验动物中心</w:t>
      </w:r>
      <w:r w:rsidR="00CA7343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以及首</w:t>
      </w:r>
      <w:proofErr w:type="gramStart"/>
      <w:r w:rsidR="00CA7343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医</w:t>
      </w:r>
      <w:proofErr w:type="gramEnd"/>
      <w:r w:rsid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的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屏障设施门禁通行权限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个月，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需要在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停</w:t>
      </w:r>
      <w:proofErr w:type="gramStart"/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卡期间</w:t>
      </w:r>
      <w:proofErr w:type="gramEnd"/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向</w:t>
      </w:r>
      <w:r w:rsidR="008C2086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8C2086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</w:t>
      </w:r>
      <w:r w:rsidR="008C2086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提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交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检讨书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（</w:t>
      </w:r>
      <w:r w:rsidR="003737B7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PI</w:t>
      </w:r>
      <w:r w:rsidR="003737B7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签字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），得到确认后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方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可重新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开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启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门禁权限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扣分行为累计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。</w:t>
      </w:r>
    </w:p>
    <w:p w14:paraId="13DF1FD9" w14:textId="019B0948" w:rsidR="003401DC" w:rsidRPr="00BD2E17" w:rsidRDefault="003401DC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</w:t>
      </w:r>
      <w:r w:rsidR="00E5129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1.</w:t>
      </w:r>
      <w:r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 xml:space="preserve">3 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实验人员在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="003737B7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个记分周期内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连续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两次</w:t>
      </w:r>
      <w:r w:rsidR="003737B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累计扣除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全部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12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分，</w:t>
      </w:r>
      <w:r w:rsidR="0058490F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58490F"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</w:t>
      </w:r>
      <w:r w:rsidR="0058490F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将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清空个人屏障设施门禁通行权限</w:t>
      </w:r>
      <w:r w:rsidR="0058490F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</w:t>
      </w:r>
      <w:r w:rsidR="00662F5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除</w:t>
      </w:r>
      <w:r w:rsidR="00662F59" w:rsidRPr="00662F5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向</w:t>
      </w:r>
      <w:r w:rsidR="00662F59" w:rsidRPr="00662F5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662F59" w:rsidRPr="00662F5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实验动物中心提交检讨书（</w:t>
      </w:r>
      <w:r w:rsidR="00662F59" w:rsidRPr="00662F5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PI</w:t>
      </w:r>
      <w:r w:rsidR="00662F59" w:rsidRPr="00662F5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签字）</w:t>
      </w:r>
      <w:r w:rsidR="00662F5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后，还需</w:t>
      </w:r>
      <w:r w:rsidR="00EB26E7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重新参加</w:t>
      </w:r>
      <w:r w:rsidR="00EB26E7" w:rsidRPr="00EB26E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EB26E7" w:rsidRPr="00EB26E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实验动物中心主持的培训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全部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通过后方可申请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开通屏障设施门禁权限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。</w:t>
      </w:r>
    </w:p>
    <w:p w14:paraId="71D58A24" w14:textId="090C1B02" w:rsidR="003401DC" w:rsidRPr="00BD2E17" w:rsidRDefault="00E51299" w:rsidP="003A25E0">
      <w:pPr>
        <w:adjustRightInd w:val="0"/>
        <w:snapToGrid w:val="0"/>
        <w:spacing w:line="312" w:lineRule="auto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4.2</w:t>
      </w:r>
      <w:r w:rsidR="0058490F"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 xml:space="preserve"> 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Pr="00C419D5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北京实验动物中心场地</w:t>
      </w:r>
      <w:r w:rsidR="003401DC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违规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行为等级</w:t>
      </w:r>
      <w:r w:rsidR="003401DC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分值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规定如下：</w:t>
      </w:r>
    </w:p>
    <w:p w14:paraId="28217DC4" w14:textId="04FEFDD6" w:rsidR="003401DC" w:rsidRPr="00BD2E17" w:rsidRDefault="00E51299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lastRenderedPageBreak/>
        <w:t>4.2</w:t>
      </w:r>
      <w:r w:rsidR="0058490F"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 xml:space="preserve">.1 </w:t>
      </w:r>
      <w:r w:rsid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扣除</w:t>
      </w:r>
      <w:r w:rsidR="003401DC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12</w:t>
      </w:r>
      <w:r w:rsidR="003401DC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分：</w:t>
      </w:r>
    </w:p>
    <w:p w14:paraId="27E29741" w14:textId="23671D42" w:rsidR="003401DC" w:rsidRPr="00BD2E17" w:rsidRDefault="0058490F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3401DC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私自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借用或向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他人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提供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门禁卡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3AD1644B" w14:textId="45DA2207" w:rsidR="003401DC" w:rsidRDefault="0058490F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2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3401DC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私自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将</w:t>
      </w:r>
      <w:r w:rsidR="009D0E1B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未经授权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人员带</w:t>
      </w:r>
      <w:r w:rsidR="009D0E1B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入屏障环境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167EE620" w14:textId="6B45E3CB" w:rsidR="0058490F" w:rsidRDefault="0058490F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3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未经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中心批准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使用</w:t>
      </w:r>
      <w:r w:rsidRP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放射性、传染性、剧毒性、腐蚀性、挥发性，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</w:t>
      </w:r>
      <w:r w:rsidRPr="0058490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易燃易爆试剂</w:t>
      </w:r>
      <w:r w:rsid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等危险化合物；</w:t>
      </w:r>
    </w:p>
    <w:p w14:paraId="1B12F8D1" w14:textId="35E05898" w:rsidR="009D0E1B" w:rsidRPr="00BD2E17" w:rsidRDefault="009D0E1B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4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私自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使用</w:t>
      </w:r>
      <w:r w:rsidRP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乙醚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、</w:t>
      </w:r>
      <w:r w:rsidRP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水合氯醛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等</w:t>
      </w:r>
      <w:r w:rsidRPr="009D0E1B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不被允许的实验动物麻醉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试剂；</w:t>
      </w:r>
    </w:p>
    <w:p w14:paraId="5E80090B" w14:textId="00FDE196" w:rsidR="0058490F" w:rsidRDefault="009D0E1B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5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未经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允许私自</w:t>
      </w:r>
      <w:r w:rsidR="004C2E20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操作</w:t>
      </w:r>
      <w:r w:rsidR="004C2E20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屏障</w:t>
      </w:r>
      <w:r w:rsidR="004C2E20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内实验动饲养</w:t>
      </w:r>
      <w:r w:rsidR="009B29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、</w:t>
      </w:r>
      <w:r w:rsidR="004C2E20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维持设备如</w:t>
      </w:r>
      <w:r w:rsidR="004C2E20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IVC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、长明灯</w:t>
      </w:r>
      <w:r w:rsidR="004C2E20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等</w:t>
      </w:r>
      <w:r w:rsidR="009B29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73F3E18A" w14:textId="3C362CC0" w:rsidR="003401DC" w:rsidRPr="00BD2E17" w:rsidRDefault="009B2917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6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对动物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进行</w:t>
      </w:r>
      <w:r w:rsidR="003401DC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安乐死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处理后未关闭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CO</w:t>
      </w:r>
      <w:r w:rsidR="00340747" w:rsidRPr="00340747">
        <w:rPr>
          <w:rFonts w:ascii="Times New Roman" w:eastAsia="华文中宋" w:hAnsi="Times New Roman" w:cs="Times New Roman" w:hint="eastAsia"/>
          <w:sz w:val="24"/>
          <w:szCs w:val="24"/>
          <w:vertAlign w:val="subscript"/>
          <w14:ligatures w14:val="standardContextual"/>
        </w:rPr>
        <w:t>2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气阀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2C7D4787" w14:textId="5D05FB06" w:rsidR="00FB0C83" w:rsidRDefault="00E51299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4.2</w:t>
      </w:r>
      <w:r w:rsidR="00FB0C83" w:rsidRPr="00691ED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 xml:space="preserve">.2 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扣除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6</w:t>
      </w:r>
      <w:r w:rsidR="00FB0C83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分：</w:t>
      </w:r>
    </w:p>
    <w:p w14:paraId="446EF3DF" w14:textId="3BFF7D3E" w:rsidR="002C288E" w:rsidRDefault="00FB0C83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2C288E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2C288E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实验人员、实验动物，以及实验物品未</w:t>
      </w:r>
      <w:r w:rsidR="00691ED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按照</w:t>
      </w:r>
      <w:r w:rsidR="002C288E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规定要求进出屏障设施；</w:t>
      </w:r>
    </w:p>
    <w:p w14:paraId="4ECE4D84" w14:textId="105CEEC8" w:rsidR="002C288E" w:rsidRDefault="002C288E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2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）未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按照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标准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操作规程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使用中心公用仪器设备；</w:t>
      </w:r>
    </w:p>
    <w:p w14:paraId="40837F12" w14:textId="485756B9" w:rsidR="00FB0C83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3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笼盒</w:t>
      </w:r>
      <w:r w:rsidR="003F697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内饲喂动物数量超标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，工作人员</w:t>
      </w:r>
      <w:r w:rsidR="00FB0C83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通知后</w:t>
      </w:r>
      <w:r w:rsidR="003F697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</w:t>
      </w:r>
      <w:r w:rsidR="00FB0C83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3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工作</w:t>
      </w:r>
      <w:r w:rsidR="00FB0C83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日内</w:t>
      </w:r>
      <w:r w:rsidR="00FB0C8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未完成处理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4F0A3BE4" w14:textId="723DED8B" w:rsidR="005F50FD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4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）繁育</w:t>
      </w:r>
      <w:proofErr w:type="gramStart"/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笼</w:t>
      </w:r>
      <w:proofErr w:type="gramEnd"/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小鼠离乳后未及时分笼，工作人员</w:t>
      </w:r>
      <w:r w:rsidR="005F50FD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通知后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</w:t>
      </w:r>
      <w:r w:rsidR="005F50FD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3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工作</w:t>
      </w:r>
      <w:r w:rsidR="005F50FD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日内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未完成处理；</w:t>
      </w:r>
    </w:p>
    <w:p w14:paraId="633AF5FE" w14:textId="52BF4992" w:rsidR="00340747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5</w:t>
      </w:r>
      <w:r w:rsidR="003F697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饲喂动物</w:t>
      </w:r>
      <w:proofErr w:type="gramStart"/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笼</w:t>
      </w:r>
      <w:proofErr w:type="gramEnd"/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盒</w:t>
      </w:r>
      <w:r w:rsidR="0024675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上不正确悬挂</w:t>
      </w:r>
      <w:r w:rsidR="003F697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动物笼卡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5F894AA6" w14:textId="77777777" w:rsidR="00340747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6</w:t>
      </w:r>
      <w:r w:rsidR="003F697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3F6979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未经</w:t>
      </w:r>
      <w:r w:rsidR="003F697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允许</w:t>
      </w:r>
      <w:r w:rsidR="003F6979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私自占用</w:t>
      </w:r>
      <w:r w:rsidR="005F50F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他人</w:t>
      </w:r>
      <w:r w:rsidR="003F6979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笼位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588C3643" w14:textId="5488228C" w:rsidR="00FB0C83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7</w:t>
      </w:r>
      <w:r w:rsidR="003F697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24675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未按照规定要求对实验动物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执行安乐死</w:t>
      </w:r>
      <w:r w:rsidR="0024675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以及未正确处理安乐死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后的</w:t>
      </w:r>
      <w:r w:rsidR="0024675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动物尸体</w:t>
      </w:r>
      <w:r w:rsidR="002C288E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（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如</w:t>
      </w:r>
      <w:r w:rsidR="002C288E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动物处死不彻底、处死后尸体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</w:t>
      </w:r>
      <w:r w:rsidR="002C288E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带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出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等</w:t>
      </w:r>
      <w:r w:rsidR="002C288E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3553D0FF" w14:textId="42A933A4" w:rsidR="005F50FD" w:rsidRPr="00691ED9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   8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不听从工作人员管理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</w:p>
    <w:p w14:paraId="51559B06" w14:textId="01407F13" w:rsidR="00691ED9" w:rsidRDefault="00E51299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E51299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4.2.3</w:t>
      </w:r>
      <w:r w:rsidR="00691ED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扣除</w:t>
      </w:r>
      <w:r w:rsidR="00691ED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3</w:t>
      </w:r>
      <w:r w:rsidR="00691ED9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分：</w:t>
      </w:r>
    </w:p>
    <w:p w14:paraId="75AEBB51" w14:textId="0D970E6F" w:rsidR="00691ED9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实验人员、实验动物，以及实验物品进出屏障设施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未按照规定要求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登记；</w:t>
      </w:r>
    </w:p>
    <w:p w14:paraId="3C2BB43D" w14:textId="7ED04ACF" w:rsidR="00691ED9" w:rsidRPr="00691ED9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   2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）进入屏障设施后未按标准要求着装</w:t>
      </w:r>
      <w:r w:rsidRPr="00691ED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实验服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及其他个人防护措施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；</w:t>
      </w:r>
      <w:r w:rsidRPr="00691ED9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</w:p>
    <w:p w14:paraId="040C4A83" w14:textId="50954B2D" w:rsidR="00691ED9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   3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）使用中心公用仪器设备未如实登记；</w:t>
      </w:r>
    </w:p>
    <w:p w14:paraId="38D6D74C" w14:textId="792B4038" w:rsidR="00691ED9" w:rsidRDefault="00691ED9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4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完成后未清理使用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的实验空间与设备（如</w:t>
      </w:r>
      <w:r w:rsidR="00437C5F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入驻</w:t>
      </w:r>
      <w:r w:rsidR="00437C5F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后不将二级包装盒带走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，试验结束后</w:t>
      </w:r>
      <w:proofErr w:type="gramStart"/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未将</w:t>
      </w:r>
      <w:r w:rsidR="00437C5F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脏笼盒带</w:t>
      </w:r>
      <w:proofErr w:type="gramEnd"/>
      <w:r w:rsidR="00437C5F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出实验室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，未清理实验产生的血迹，垫料碎屑，使用</w:t>
      </w:r>
      <w:r w:rsidR="00437C5F"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安乐死箱</w:t>
      </w:r>
      <w:r w:rsid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后未清理等）；</w:t>
      </w:r>
    </w:p>
    <w:p w14:paraId="2A6E369A" w14:textId="70BFB196" w:rsidR="00437C5F" w:rsidRDefault="00437C5F" w:rsidP="003A25E0">
      <w:pPr>
        <w:adjustRightInd w:val="0"/>
        <w:snapToGrid w:val="0"/>
        <w:spacing w:line="312" w:lineRule="auto"/>
        <w:ind w:firstLineChars="300" w:firstLine="72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5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）离开屏障设施后未将个人防护设备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（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如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口罩、帽子、手套、拖鞋）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以及实验废弃物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（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如注射器，</w:t>
      </w:r>
      <w:proofErr w:type="gramStart"/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移液枪</w:t>
      </w:r>
      <w:proofErr w:type="gramEnd"/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头等</w:t>
      </w:r>
      <w:r w:rsidRPr="00BD2E1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）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放入指定处理</w:t>
      </w:r>
      <w:r w:rsidR="0034074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位置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。</w:t>
      </w:r>
    </w:p>
    <w:p w14:paraId="21AB221F" w14:textId="77777777" w:rsidR="00514327" w:rsidRDefault="00514327" w:rsidP="003A25E0">
      <w:pPr>
        <w:adjustRightInd w:val="0"/>
        <w:snapToGrid w:val="0"/>
        <w:spacing w:line="312" w:lineRule="auto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</w:p>
    <w:p w14:paraId="722C332B" w14:textId="2C3F025B" w:rsidR="00514327" w:rsidRDefault="00514327" w:rsidP="003A25E0">
      <w:pPr>
        <w:pStyle w:val="2"/>
        <w:adjustRightInd w:val="0"/>
        <w:snapToGrid w:val="0"/>
        <w:spacing w:before="0" w:after="0" w:line="312" w:lineRule="auto"/>
        <w:jc w:val="both"/>
        <w:rPr>
          <w:rFonts w:ascii="Times New Roman" w:eastAsia="华文中宋" w:hAnsi="Times New Roman" w:cs="Times New Roman"/>
          <w:color w:val="auto"/>
          <w:sz w:val="24"/>
          <w:szCs w:val="24"/>
          <w:shd w:val="pct15" w:color="auto" w:fill="FFFFFF"/>
          <w14:ligatures w14:val="standardContextual"/>
        </w:rPr>
      </w:pPr>
      <w:r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lastRenderedPageBreak/>
        <w:t xml:space="preserve">5 </w:t>
      </w:r>
      <w:r w:rsidRPr="00E51299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CIMR</w:t>
      </w:r>
      <w:r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首都医科大学</w:t>
      </w:r>
      <w:r w:rsidR="00CA7343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区域</w:t>
      </w:r>
      <w:r w:rsidRPr="00E51299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实验人员违规管理条例：</w:t>
      </w:r>
    </w:p>
    <w:p w14:paraId="6E7D5B4B" w14:textId="611F3A54" w:rsidR="00514327" w:rsidRDefault="00514327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b/>
          <w:bCs/>
          <w:w w:val="90"/>
          <w:sz w:val="32"/>
          <w:szCs w:val="32"/>
        </w:rPr>
      </w:pP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在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首都医科大学动物屏障设施</w:t>
      </w:r>
      <w:r w:rsidRP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所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开展的动物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相关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研究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将依照首都医科大学实验动物部的相关制度进行申请与实施</w:t>
      </w:r>
      <w:r w:rsidRPr="0005392A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，需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遵守首都医科大学实验动物部的相关管理规定</w:t>
      </w:r>
      <w:r w:rsidRPr="0005392A"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  <w:t>。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在屏障设施外，</w:t>
      </w:r>
      <w:proofErr w:type="gramStart"/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即首都</w:t>
      </w:r>
      <w:proofErr w:type="gramEnd"/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医科大学科研南北楼内的实验</w:t>
      </w:r>
      <w:r w:rsidR="0030044E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室内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将遵循如下规定：</w:t>
      </w:r>
    </w:p>
    <w:p w14:paraId="6A8DB5BD" w14:textId="14E28DC6" w:rsidR="00437C5F" w:rsidRDefault="00514327" w:rsidP="003A25E0">
      <w:pPr>
        <w:adjustRightInd w:val="0"/>
        <w:snapToGrid w:val="0"/>
        <w:spacing w:line="312" w:lineRule="auto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CA7343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5.1</w:t>
      </w:r>
      <w:r w:rsidRP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严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禁在实验室内饲养实验动物过夜。</w:t>
      </w:r>
    </w:p>
    <w:p w14:paraId="5981FDE8" w14:textId="557D3F47" w:rsidR="00437C5F" w:rsidRDefault="00514327" w:rsidP="003A25E0">
      <w:pPr>
        <w:adjustRightInd w:val="0"/>
        <w:snapToGrid w:val="0"/>
        <w:spacing w:line="312" w:lineRule="auto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CA7343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5.2</w:t>
      </w:r>
      <w:r w:rsidRP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437C5F" w:rsidRPr="0051432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实验室进行动物实验，必须使用首</w:t>
      </w:r>
      <w:proofErr w:type="gramStart"/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医</w:t>
      </w:r>
      <w:proofErr w:type="gramEnd"/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实验动物部提供的笼具，在实验室空间内不得存放饲料、垫料及饲养动物</w:t>
      </w:r>
      <w:r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相关的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物品。</w:t>
      </w:r>
    </w:p>
    <w:p w14:paraId="11EC1C6F" w14:textId="37C39C77" w:rsidR="00437C5F" w:rsidRDefault="00514327" w:rsidP="003A25E0">
      <w:pPr>
        <w:adjustRightInd w:val="0"/>
        <w:snapToGrid w:val="0"/>
        <w:spacing w:line="312" w:lineRule="auto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CA7343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5.3</w:t>
      </w:r>
      <w:r w:rsidRP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在实验室内进行动物实</w:t>
      </w:r>
      <w:r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验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结束后请立即将动物送回首</w:t>
      </w:r>
      <w:proofErr w:type="gramStart"/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医</w:t>
      </w:r>
      <w:proofErr w:type="gramEnd"/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部的动物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暂养室内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按照</w:t>
      </w:r>
      <w:r w:rsidR="0010351D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首医实验动物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部</w:t>
      </w:r>
      <w:r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的规定要求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进行饲养管理。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如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实验结束后处死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动物的，应按照首</w:t>
      </w:r>
      <w:proofErr w:type="gramStart"/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医</w:t>
      </w:r>
      <w:proofErr w:type="gramEnd"/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实验动物部的</w:t>
      </w:r>
      <w:r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规定要求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进行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相应的</w:t>
      </w:r>
      <w:r w:rsidR="0010351D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动物尸体存放，垫料清理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以及笼</w:t>
      </w:r>
      <w:r w:rsidR="0010351D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具归还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。</w:t>
      </w:r>
    </w:p>
    <w:p w14:paraId="2A0B7B82" w14:textId="6E1703B7" w:rsidR="00437C5F" w:rsidRPr="00514327" w:rsidRDefault="00514327" w:rsidP="003A25E0">
      <w:pPr>
        <w:adjustRightInd w:val="0"/>
        <w:snapToGrid w:val="0"/>
        <w:spacing w:line="312" w:lineRule="auto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CA7343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5.4</w:t>
      </w:r>
      <w:r w:rsidRPr="00CA7343">
        <w:rPr>
          <w:rFonts w:ascii="Times New Roman" w:eastAsia="华文中宋" w:hAnsi="Times New Roman" w:cs="Times New Roman" w:hint="eastAsia"/>
          <w:b/>
          <w:bCs/>
          <w:sz w:val="24"/>
          <w:szCs w:val="24"/>
          <w14:ligatures w14:val="standardContextual"/>
        </w:rPr>
        <w:t xml:space="preserve"> </w:t>
      </w:r>
      <w:r w:rsidR="0010351D" w:rsidRPr="0051432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如在中心实验室内发现存在动物违规饲养，</w:t>
      </w:r>
      <w:r w:rsidR="00437C5F" w:rsidRPr="0051432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将</w:t>
      </w:r>
      <w:r w:rsidR="00CA7343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执行</w:t>
      </w:r>
      <w:r w:rsidR="00437C5F" w:rsidRPr="0051432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以下处罚措施：</w:t>
      </w:r>
    </w:p>
    <w:p w14:paraId="3071D681" w14:textId="15100E79" w:rsidR="0010351D" w:rsidRDefault="00514327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30044E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5.</w:t>
      </w:r>
      <w:r w:rsidR="0010351D" w:rsidRPr="0030044E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4.1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第一次发现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，将关闭实验当事人在首</w:t>
      </w:r>
      <w:proofErr w:type="gramStart"/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医</w:t>
      </w:r>
      <w:proofErr w:type="gramEnd"/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北京实验动物中心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动物屏障设施的进出权限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个月；</w:t>
      </w:r>
    </w:p>
    <w:p w14:paraId="705B1E5B" w14:textId="60278440" w:rsidR="0010351D" w:rsidRDefault="00514327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30044E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5.</w:t>
      </w:r>
      <w:r w:rsidR="0010351D" w:rsidRPr="0030044E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4.2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第二次发现，将取消当事人在首</w:t>
      </w:r>
      <w:proofErr w:type="gramStart"/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医</w:t>
      </w:r>
      <w:proofErr w:type="gramEnd"/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以及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北京实验动物中心的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动物屏障设施权限，当事人需向动物中心做出书面说明与检讨（附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PI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签字），此外需重新参加</w:t>
      </w:r>
      <w:r w:rsidR="00EB26E7" w:rsidRPr="00EB26E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="00EB26E7" w:rsidRPr="00EB26E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实验动物中心主持的培训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，通过后方可申请再次开通屏障设施权限；</w:t>
      </w:r>
    </w:p>
    <w:p w14:paraId="404C1711" w14:textId="72BC43E1" w:rsidR="00437C5F" w:rsidRDefault="00514327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30044E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5.</w:t>
      </w:r>
      <w:r w:rsidR="0010351D" w:rsidRPr="0030044E">
        <w:rPr>
          <w:rFonts w:ascii="Times New Roman" w:eastAsia="华文中宋" w:hAnsi="Times New Roman" w:cs="Times New Roman" w:hint="eastAsia"/>
          <w:sz w:val="24"/>
          <w:szCs w:val="24"/>
          <w:shd w:val="pct15" w:color="auto" w:fill="FFFFFF"/>
          <w14:ligatures w14:val="standardContextual"/>
        </w:rPr>
        <w:t>4.3</w:t>
      </w:r>
      <w:r w:rsid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同一实验室如第三次发生此类违规事件，实验室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PI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本人必须在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PI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群内通报相关情况并进行检讨，同时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3</w:t>
      </w:r>
      <w:r w:rsidR="0010351D" w:rsidRPr="00437C5F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个月内限制该实验室进行新屏障设施门禁权限的申请。</w:t>
      </w:r>
      <w:r w:rsidR="00437C5F"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 xml:space="preserve"> </w:t>
      </w:r>
    </w:p>
    <w:p w14:paraId="54BA9A4F" w14:textId="1526CB18" w:rsidR="00514327" w:rsidRPr="00672074" w:rsidRDefault="00514327" w:rsidP="003A25E0">
      <w:pPr>
        <w:pStyle w:val="2"/>
        <w:adjustRightInd w:val="0"/>
        <w:snapToGrid w:val="0"/>
        <w:spacing w:before="0" w:after="0" w:line="312" w:lineRule="auto"/>
        <w:jc w:val="both"/>
        <w:rPr>
          <w:rFonts w:ascii="Times New Roman" w:eastAsia="华文中宋" w:hAnsi="Times New Roman" w:cs="Times New Roman"/>
          <w:color w:val="auto"/>
          <w:sz w:val="24"/>
          <w:szCs w:val="24"/>
          <w14:ligatures w14:val="standardContextual"/>
        </w:rPr>
      </w:pPr>
      <w:r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6</w:t>
      </w:r>
      <w:r w:rsidRPr="00691ED9">
        <w:rPr>
          <w:rFonts w:ascii="Times New Roman" w:eastAsia="华文中宋" w:hAnsi="Times New Roman" w:cs="Times New Roman" w:hint="eastAsia"/>
          <w:color w:val="auto"/>
          <w:sz w:val="24"/>
          <w:szCs w:val="24"/>
          <w:shd w:val="pct15" w:color="auto" w:fill="FFFFFF"/>
          <w14:ligatures w14:val="standardContextual"/>
        </w:rPr>
        <w:t>.</w:t>
      </w:r>
      <w:r>
        <w:rPr>
          <w:rFonts w:ascii="Times New Roman" w:eastAsia="华文中宋" w:hAnsi="Times New Roman" w:cs="Times New Roman" w:hint="eastAsia"/>
          <w:color w:val="auto"/>
          <w:sz w:val="24"/>
          <w:szCs w:val="24"/>
          <w14:ligatures w14:val="standardContextual"/>
        </w:rPr>
        <w:t>执行</w:t>
      </w:r>
    </w:p>
    <w:p w14:paraId="6CE8C642" w14:textId="547D21F5" w:rsidR="00437C5F" w:rsidRPr="0010351D" w:rsidRDefault="00437C5F" w:rsidP="003A25E0">
      <w:pPr>
        <w:adjustRightInd w:val="0"/>
        <w:snapToGrid w:val="0"/>
        <w:spacing w:line="312" w:lineRule="auto"/>
        <w:ind w:firstLineChars="200" w:firstLine="480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bookmarkStart w:id="2" w:name="_Hlk189921012"/>
      <w:r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本</w:t>
      </w:r>
      <w:r w:rsidR="00514327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程序</w:t>
      </w:r>
      <w:r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自颁布之日起施行，由</w:t>
      </w:r>
      <w:r w:rsidR="009F3B44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CIMR</w:t>
      </w:r>
      <w:r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实验动物中心负责解释。</w:t>
      </w:r>
    </w:p>
    <w:bookmarkEnd w:id="2"/>
    <w:p w14:paraId="1BA92A5A" w14:textId="77777777" w:rsidR="00C132C0" w:rsidRDefault="00C132C0" w:rsidP="003A25E0">
      <w:pPr>
        <w:adjustRightInd w:val="0"/>
        <w:snapToGrid w:val="0"/>
        <w:spacing w:line="312" w:lineRule="auto"/>
        <w:ind w:firstLineChars="2600" w:firstLine="624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</w:p>
    <w:p w14:paraId="43E4FC60" w14:textId="5F716128" w:rsidR="0010351D" w:rsidRPr="0010351D" w:rsidRDefault="0010351D" w:rsidP="003A25E0">
      <w:pPr>
        <w:adjustRightInd w:val="0"/>
        <w:snapToGrid w:val="0"/>
        <w:spacing w:line="312" w:lineRule="auto"/>
        <w:ind w:firstLineChars="2600" w:firstLine="624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  <w:r w:rsidRPr="0010351D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日期：</w:t>
      </w:r>
      <w:r w:rsidR="00740502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2025</w:t>
      </w:r>
      <w:r w:rsidR="00740502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年</w:t>
      </w:r>
      <w:r w:rsidR="00740502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1</w:t>
      </w:r>
      <w:r w:rsidR="00740502">
        <w:rPr>
          <w:rFonts w:ascii="Times New Roman" w:eastAsia="华文中宋" w:hAnsi="Times New Roman" w:cs="Times New Roman" w:hint="eastAsia"/>
          <w:sz w:val="24"/>
          <w:szCs w:val="24"/>
          <w14:ligatures w14:val="standardContextual"/>
        </w:rPr>
        <w:t>月</w:t>
      </w:r>
    </w:p>
    <w:p w14:paraId="2233358B" w14:textId="77777777" w:rsidR="005F50FD" w:rsidRPr="005F50FD" w:rsidRDefault="005F50FD" w:rsidP="003A25E0">
      <w:pPr>
        <w:adjustRightInd w:val="0"/>
        <w:snapToGrid w:val="0"/>
        <w:spacing w:line="312" w:lineRule="auto"/>
        <w:ind w:firstLineChars="200" w:firstLine="480"/>
        <w:jc w:val="both"/>
        <w:rPr>
          <w:rFonts w:ascii="Times New Roman" w:eastAsia="华文中宋" w:hAnsi="Times New Roman" w:cs="Times New Roman"/>
          <w:sz w:val="24"/>
          <w:szCs w:val="24"/>
          <w14:ligatures w14:val="standardContextual"/>
        </w:rPr>
      </w:pPr>
    </w:p>
    <w:sectPr w:rsidR="005F50FD" w:rsidRPr="005F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14BE" w14:textId="77777777" w:rsidR="003F3D31" w:rsidRDefault="003F3D31" w:rsidP="0034074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FD94AFC" w14:textId="77777777" w:rsidR="003F3D31" w:rsidRDefault="003F3D31" w:rsidP="0034074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D1DC" w14:textId="77777777" w:rsidR="003F3D31" w:rsidRDefault="003F3D31" w:rsidP="0034074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2156049" w14:textId="77777777" w:rsidR="003F3D31" w:rsidRDefault="003F3D31" w:rsidP="0034074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441D0D"/>
    <w:multiLevelType w:val="singleLevel"/>
    <w:tmpl w:val="F5441D0D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1B5D74F2"/>
    <w:multiLevelType w:val="multilevel"/>
    <w:tmpl w:val="751C4F40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FA6322B"/>
    <w:multiLevelType w:val="hybridMultilevel"/>
    <w:tmpl w:val="6EA42D8E"/>
    <w:lvl w:ilvl="0" w:tplc="159C4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7131CCF"/>
    <w:multiLevelType w:val="hybridMultilevel"/>
    <w:tmpl w:val="2B7EE19C"/>
    <w:lvl w:ilvl="0" w:tplc="2F287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D073CA4"/>
    <w:multiLevelType w:val="multilevel"/>
    <w:tmpl w:val="392A7E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D5948AF"/>
    <w:multiLevelType w:val="singleLevel"/>
    <w:tmpl w:val="5D5948AF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450322629">
    <w:abstractNumId w:val="0"/>
    <w:lvlOverride w:ilvl="0">
      <w:startOverride w:val="1"/>
    </w:lvlOverride>
  </w:num>
  <w:num w:numId="2" w16cid:durableId="1379932902">
    <w:abstractNumId w:val="5"/>
    <w:lvlOverride w:ilvl="0">
      <w:startOverride w:val="1"/>
    </w:lvlOverride>
  </w:num>
  <w:num w:numId="3" w16cid:durableId="1960605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656054">
    <w:abstractNumId w:val="2"/>
  </w:num>
  <w:num w:numId="5" w16cid:durableId="1108967192">
    <w:abstractNumId w:val="3"/>
  </w:num>
  <w:num w:numId="6" w16cid:durableId="1933470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C"/>
    <w:rsid w:val="000226DA"/>
    <w:rsid w:val="00030086"/>
    <w:rsid w:val="0005392A"/>
    <w:rsid w:val="0008442B"/>
    <w:rsid w:val="0010351D"/>
    <w:rsid w:val="001B6956"/>
    <w:rsid w:val="00203F96"/>
    <w:rsid w:val="00246753"/>
    <w:rsid w:val="002508E4"/>
    <w:rsid w:val="00266680"/>
    <w:rsid w:val="00293010"/>
    <w:rsid w:val="002B59FB"/>
    <w:rsid w:val="002C288E"/>
    <w:rsid w:val="002E3D6F"/>
    <w:rsid w:val="0030044E"/>
    <w:rsid w:val="003401DC"/>
    <w:rsid w:val="00340747"/>
    <w:rsid w:val="003737B7"/>
    <w:rsid w:val="003A25E0"/>
    <w:rsid w:val="003E64BE"/>
    <w:rsid w:val="003F3D31"/>
    <w:rsid w:val="003F6979"/>
    <w:rsid w:val="00437C5F"/>
    <w:rsid w:val="004500F6"/>
    <w:rsid w:val="004C2E20"/>
    <w:rsid w:val="004C5574"/>
    <w:rsid w:val="004F2D28"/>
    <w:rsid w:val="004F6EE4"/>
    <w:rsid w:val="005129F7"/>
    <w:rsid w:val="00514327"/>
    <w:rsid w:val="0058490F"/>
    <w:rsid w:val="0059635F"/>
    <w:rsid w:val="005E0EF2"/>
    <w:rsid w:val="005F50FD"/>
    <w:rsid w:val="00656735"/>
    <w:rsid w:val="00662F59"/>
    <w:rsid w:val="00672074"/>
    <w:rsid w:val="006741D8"/>
    <w:rsid w:val="00691ED9"/>
    <w:rsid w:val="00695873"/>
    <w:rsid w:val="00740502"/>
    <w:rsid w:val="00772562"/>
    <w:rsid w:val="00827249"/>
    <w:rsid w:val="008C2086"/>
    <w:rsid w:val="0096148D"/>
    <w:rsid w:val="00984FCC"/>
    <w:rsid w:val="009B2917"/>
    <w:rsid w:val="009D0E1B"/>
    <w:rsid w:val="009F3B44"/>
    <w:rsid w:val="00AB6544"/>
    <w:rsid w:val="00B146B1"/>
    <w:rsid w:val="00B155DF"/>
    <w:rsid w:val="00B37D8D"/>
    <w:rsid w:val="00B6533F"/>
    <w:rsid w:val="00B66620"/>
    <w:rsid w:val="00BA213B"/>
    <w:rsid w:val="00BD2E17"/>
    <w:rsid w:val="00C132C0"/>
    <w:rsid w:val="00C35D83"/>
    <w:rsid w:val="00C419D5"/>
    <w:rsid w:val="00C450B1"/>
    <w:rsid w:val="00C779F7"/>
    <w:rsid w:val="00C83540"/>
    <w:rsid w:val="00C91DB7"/>
    <w:rsid w:val="00CA6034"/>
    <w:rsid w:val="00CA7343"/>
    <w:rsid w:val="00E148D0"/>
    <w:rsid w:val="00E43A77"/>
    <w:rsid w:val="00E51299"/>
    <w:rsid w:val="00EB26E7"/>
    <w:rsid w:val="00ED146B"/>
    <w:rsid w:val="00EF765C"/>
    <w:rsid w:val="00F25D94"/>
    <w:rsid w:val="00F45D0C"/>
    <w:rsid w:val="00FA6C80"/>
    <w:rsid w:val="00FB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323D0"/>
  <w15:chartTrackingRefBased/>
  <w15:docId w15:val="{CD76BB40-E801-43CD-9AFE-BA27A775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1DC"/>
    <w:pPr>
      <w:widowControl w:val="0"/>
      <w:spacing w:after="0" w:line="360" w:lineRule="auto"/>
    </w:pPr>
    <w:rPr>
      <w:rFonts w:asciiTheme="minorEastAsia" w:hAnsiTheme="minorEastAsia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sid w:val="00340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1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1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1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340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1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01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07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0747"/>
    <w:rPr>
      <w:rFonts w:asciiTheme="minorEastAsia" w:hAnsiTheme="minorEastAsia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407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0747"/>
    <w:rPr>
      <w:rFonts w:asciiTheme="minorEastAsia" w:hAnsiTheme="minorEastAsia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1043</Words>
  <Characters>1127</Characters>
  <Application>Microsoft Office Word</Application>
  <DocSecurity>0</DocSecurity>
  <Lines>36</Lines>
  <Paragraphs>14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anna</dc:creator>
  <cp:keywords/>
  <dc:description/>
  <cp:lastModifiedBy>hui gao</cp:lastModifiedBy>
  <cp:revision>16</cp:revision>
  <dcterms:created xsi:type="dcterms:W3CDTF">2025-01-23T04:06:00Z</dcterms:created>
  <dcterms:modified xsi:type="dcterms:W3CDTF">2025-02-08T07:30:00Z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064dc590e59871020a4c8eef74ce5b7f86d576db3d3d1a996ec1b8b86a1270b7</vt:lpwstr>
  </property>
</Properties>
</file>